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21B" w:rsidRPr="00BB592B" w:rsidRDefault="000F3563" w:rsidP="00C75234">
      <w:pPr>
        <w:spacing w:after="0"/>
        <w:jc w:val="both"/>
        <w:rPr>
          <w:b/>
          <w:sz w:val="36"/>
          <w:szCs w:val="36"/>
        </w:rPr>
      </w:pPr>
      <w:r>
        <w:rPr>
          <w:b/>
          <w:sz w:val="36"/>
          <w:szCs w:val="36"/>
        </w:rPr>
        <w:t>Proposta</w:t>
      </w:r>
      <w:r w:rsidR="00896C88">
        <w:rPr>
          <w:b/>
          <w:sz w:val="36"/>
          <w:szCs w:val="36"/>
        </w:rPr>
        <w:t xml:space="preserve"> ANIE Rinnovabili</w:t>
      </w:r>
      <w:r>
        <w:rPr>
          <w:b/>
          <w:sz w:val="36"/>
          <w:szCs w:val="36"/>
        </w:rPr>
        <w:t xml:space="preserve"> – </w:t>
      </w:r>
      <w:r w:rsidR="00255B63">
        <w:rPr>
          <w:b/>
          <w:sz w:val="36"/>
          <w:szCs w:val="36"/>
        </w:rPr>
        <w:t>IDROELETTRICO</w:t>
      </w:r>
    </w:p>
    <w:p w:rsidR="00D6621B" w:rsidRDefault="00D6621B" w:rsidP="00C75234">
      <w:pPr>
        <w:spacing w:after="0"/>
        <w:jc w:val="both"/>
      </w:pPr>
    </w:p>
    <w:p w:rsidR="00D6621B" w:rsidRPr="00972B2B" w:rsidRDefault="00255B63" w:rsidP="00972B2B">
      <w:pPr>
        <w:pStyle w:val="Paragrafoelenco"/>
        <w:numPr>
          <w:ilvl w:val="0"/>
          <w:numId w:val="8"/>
        </w:numPr>
        <w:spacing w:after="0"/>
        <w:jc w:val="both"/>
        <w:rPr>
          <w:sz w:val="28"/>
          <w:szCs w:val="28"/>
        </w:rPr>
      </w:pPr>
      <w:r w:rsidRPr="00972B2B">
        <w:rPr>
          <w:sz w:val="28"/>
          <w:szCs w:val="28"/>
        </w:rPr>
        <w:t>otto</w:t>
      </w:r>
      <w:r w:rsidR="006741BC" w:rsidRPr="00972B2B">
        <w:rPr>
          <w:sz w:val="28"/>
          <w:szCs w:val="28"/>
        </w:rPr>
        <w:t>bre</w:t>
      </w:r>
      <w:r w:rsidR="000F3563" w:rsidRPr="00972B2B">
        <w:rPr>
          <w:sz w:val="28"/>
          <w:szCs w:val="28"/>
        </w:rPr>
        <w:t xml:space="preserve"> 2016</w:t>
      </w:r>
    </w:p>
    <w:p w:rsidR="00D6621B" w:rsidRDefault="00D6621B" w:rsidP="00C75234">
      <w:pPr>
        <w:spacing w:after="0"/>
        <w:jc w:val="both"/>
      </w:pPr>
    </w:p>
    <w:p w:rsidR="00E90B0F" w:rsidRDefault="00E90B0F" w:rsidP="00E90B0F">
      <w:pPr>
        <w:pStyle w:val="Paragrafoelenco"/>
        <w:numPr>
          <w:ilvl w:val="0"/>
          <w:numId w:val="2"/>
        </w:numPr>
        <w:spacing w:after="0"/>
        <w:jc w:val="both"/>
        <w:rPr>
          <w:b/>
          <w:u w:val="single"/>
        </w:rPr>
      </w:pPr>
      <w:r w:rsidRPr="00E90B0F">
        <w:rPr>
          <w:b/>
          <w:u w:val="single"/>
        </w:rPr>
        <w:t xml:space="preserve">La definizione di “potenza di impianto idroelettrico” </w:t>
      </w:r>
      <w:bookmarkStart w:id="0" w:name="_GoBack"/>
      <w:r w:rsidR="00170EB8">
        <w:rPr>
          <w:b/>
          <w:color w:val="FF0000"/>
          <w:u w:val="single"/>
        </w:rPr>
        <w:t>DA RIVEDERE</w:t>
      </w:r>
      <w:bookmarkEnd w:id="0"/>
    </w:p>
    <w:p w:rsidR="00E90B0F" w:rsidRDefault="00E90B0F" w:rsidP="00E90B0F">
      <w:pPr>
        <w:spacing w:after="0"/>
        <w:jc w:val="both"/>
      </w:pPr>
      <w:r w:rsidRPr="00E90B0F">
        <w:t>La potenza di un impianto idroelettrico è definita nel DM 23 giugno 2016 come:</w:t>
      </w:r>
    </w:p>
    <w:p w:rsidR="00E90B0F" w:rsidRDefault="00E90B0F" w:rsidP="00E90B0F">
      <w:pPr>
        <w:spacing w:after="0"/>
        <w:ind w:firstLine="708"/>
        <w:jc w:val="both"/>
      </w:pPr>
      <w:r w:rsidRPr="00E90B0F">
        <w:rPr>
          <w:i/>
        </w:rPr>
        <w:t>la potenza è pari alla potenza nominale di concessione di derivazione d’acqua</w:t>
      </w:r>
      <w:r w:rsidRPr="00E90B0F">
        <w:t>.</w:t>
      </w:r>
    </w:p>
    <w:p w:rsidR="00E90B0F" w:rsidRDefault="00E90B0F" w:rsidP="00E90B0F">
      <w:pPr>
        <w:spacing w:after="0"/>
        <w:jc w:val="both"/>
      </w:pPr>
      <w:r w:rsidRPr="00E90B0F">
        <w:t xml:space="preserve">Mentre il comma 1) lettera a) dell’art. 30 del DM 23 giugno 2016 definisce gli incrementi di potenza consentiti in riferimento alla potenza nominale dell'impianto e delle singole macchine o sezioni che lo compongono, </w:t>
      </w:r>
      <w:proofErr w:type="spellStart"/>
      <w:r w:rsidRPr="00E90B0F">
        <w:t>nonche</w:t>
      </w:r>
      <w:proofErr w:type="spellEnd"/>
      <w:r w:rsidRPr="00E90B0F">
        <w:t>', ove disponibile, della potenza nominale dei motori primi di potenza di impianto, di macchine o sezioni.</w:t>
      </w:r>
    </w:p>
    <w:p w:rsidR="00E90B0F" w:rsidRPr="00E90B0F" w:rsidRDefault="00E90B0F" w:rsidP="00E90B0F">
      <w:pPr>
        <w:spacing w:after="0"/>
        <w:jc w:val="both"/>
        <w:rPr>
          <w:b/>
          <w:u w:val="single"/>
        </w:rPr>
      </w:pPr>
    </w:p>
    <w:p w:rsidR="00E90B0F" w:rsidRDefault="00E90B0F" w:rsidP="00E90B0F">
      <w:pPr>
        <w:pStyle w:val="Normale1"/>
        <w:spacing w:after="0"/>
        <w:jc w:val="both"/>
      </w:pPr>
      <w:r>
        <w:t>L’Associazione ritiene</w:t>
      </w:r>
      <w:r w:rsidRPr="00E90B0F">
        <w:t xml:space="preserve"> che la potenza nominale debba riferirsi in ogni caso alla potenza nominale di concessione di derivazione idroelettrica, e non a macchine o sezioni per non precludere interventi di manutenzione e </w:t>
      </w:r>
      <w:proofErr w:type="spellStart"/>
      <w:r w:rsidRPr="00E90B0F">
        <w:t>efficientamento</w:t>
      </w:r>
      <w:proofErr w:type="spellEnd"/>
      <w:r w:rsidRPr="00E90B0F">
        <w:t xml:space="preserve"> degli impianti finalizzati a migliorarne i rendimenti nei limiti delle concessioni idroelettriche ottenute. La concessione di derivazione è infatti definita come potenza media di concessione, data dal prodotto della portata media annua derivata per il salto lordo e definisce, quindi, l’energia teoricamente producibile dall’impianto nell’ipotesi in cui ci si trovi nella condizione ideale di rendimento delle macchine pari</w:t>
      </w:r>
      <w:r>
        <w:t xml:space="preserve"> a 1 e perdite di carico nulle.</w:t>
      </w:r>
    </w:p>
    <w:p w:rsidR="00E90B0F" w:rsidRDefault="00E90B0F" w:rsidP="00E90B0F">
      <w:pPr>
        <w:pStyle w:val="Normale1"/>
        <w:spacing w:after="0"/>
        <w:jc w:val="both"/>
      </w:pPr>
    </w:p>
    <w:p w:rsidR="00E90B0F" w:rsidRPr="000F3563" w:rsidRDefault="00E90B0F" w:rsidP="00E90B0F">
      <w:pPr>
        <w:pStyle w:val="Paragrafoelenco"/>
        <w:numPr>
          <w:ilvl w:val="0"/>
          <w:numId w:val="2"/>
        </w:numPr>
        <w:spacing w:after="0"/>
        <w:jc w:val="both"/>
        <w:rPr>
          <w:b/>
          <w:u w:val="single"/>
        </w:rPr>
      </w:pPr>
      <w:r>
        <w:rPr>
          <w:b/>
          <w:u w:val="single"/>
        </w:rPr>
        <w:t>Incremento di potenza dell’impianto</w:t>
      </w:r>
      <w:r w:rsidR="00170EB8">
        <w:rPr>
          <w:b/>
          <w:u w:val="single"/>
        </w:rPr>
        <w:t xml:space="preserve"> </w:t>
      </w:r>
      <w:r w:rsidR="00170EB8" w:rsidRPr="00170EB8">
        <w:rPr>
          <w:b/>
          <w:color w:val="FF0000"/>
          <w:u w:val="single"/>
        </w:rPr>
        <w:t>DA RIVEDERE</w:t>
      </w:r>
    </w:p>
    <w:p w:rsidR="00E90B0F" w:rsidRDefault="00E90B0F" w:rsidP="00E90B0F">
      <w:pPr>
        <w:pStyle w:val="Normale1"/>
        <w:spacing w:after="0"/>
        <w:jc w:val="both"/>
      </w:pPr>
      <w:r w:rsidRPr="00E90B0F">
        <w:t xml:space="preserve">Per quanto riguarda l’incremento di potenza dell’impianto consentito in seguito alla sostituzione di un componente è consentito nel rispetto di soglie prestabilite (ammessa variazione del 1% della potenza nominale dell'impianto e delle singole macchine o sezioni che lo compongono, mentre per impianti fino a 20 kW si arriva sino al 5%), </w:t>
      </w:r>
      <w:r>
        <w:t>l’Associazione ritiene</w:t>
      </w:r>
      <w:r w:rsidRPr="00E90B0F">
        <w:t xml:space="preserve"> che il GSE debba consentire l’aggiornamento tecnologico degli impianti sino al raggiungimento dei limiti disciplinati dalla concessione idroelettrica, considerato che anche le autorizzazioni si basano sulla potenza nominale della derivazione idroelettrica.</w:t>
      </w:r>
    </w:p>
    <w:p w:rsidR="00E90B0F" w:rsidRPr="00E90B0F" w:rsidRDefault="00E90B0F" w:rsidP="00E90B0F">
      <w:pPr>
        <w:pStyle w:val="Normale1"/>
        <w:spacing w:after="0"/>
        <w:jc w:val="both"/>
      </w:pPr>
    </w:p>
    <w:p w:rsidR="00B42969" w:rsidRPr="000F3563" w:rsidRDefault="00B42969" w:rsidP="00934CAB">
      <w:pPr>
        <w:pStyle w:val="Paragrafoelenco"/>
        <w:numPr>
          <w:ilvl w:val="0"/>
          <w:numId w:val="2"/>
        </w:numPr>
        <w:spacing w:after="0"/>
        <w:jc w:val="both"/>
        <w:rPr>
          <w:b/>
          <w:u w:val="single"/>
        </w:rPr>
      </w:pPr>
      <w:r w:rsidRPr="000F3563">
        <w:rPr>
          <w:b/>
          <w:u w:val="single"/>
        </w:rPr>
        <w:t>St</w:t>
      </w:r>
      <w:r w:rsidR="009A7D0B">
        <w:rPr>
          <w:b/>
          <w:u w:val="single"/>
        </w:rPr>
        <w:t>ato attuale della rigenerazione</w:t>
      </w:r>
    </w:p>
    <w:p w:rsidR="00405017" w:rsidRDefault="00405017" w:rsidP="00405017">
      <w:pPr>
        <w:pStyle w:val="Normale1"/>
        <w:spacing w:after="0"/>
        <w:jc w:val="both"/>
      </w:pPr>
      <w:r>
        <w:t xml:space="preserve">L’Associazione ritiene che l’utilizzo di componenti rigenerati possa costituire un limite all’innovazione tecnologica degli impianti idroelettrici ed al loro </w:t>
      </w:r>
      <w:proofErr w:type="spellStart"/>
      <w:r>
        <w:t>efficientamento</w:t>
      </w:r>
      <w:proofErr w:type="spellEnd"/>
      <w:r>
        <w:t>, in particolare relativamente all’utilizzo di apparecchiature di controllo elettroniche o componenti meccanici a migliore efficienza. Inoltre, si segnala che spesso alcune sostituzioni vengono effettuate dopo un decennio in seguito alla perdita di efficienza delle macchine ed è quindi conveniente eseguire l’intervento utilizzando componenti nuovi.</w:t>
      </w:r>
    </w:p>
    <w:p w:rsidR="00405017" w:rsidRDefault="00405017" w:rsidP="00405017">
      <w:pPr>
        <w:pStyle w:val="Normale1"/>
        <w:spacing w:after="0"/>
        <w:jc w:val="both"/>
      </w:pPr>
      <w:r>
        <w:t>In conclusione, si segnala che allo stato attuale, in ambito idroelettrico la rigenerazione non è diffusa se non per alcuni componenti elettrici.</w:t>
      </w:r>
    </w:p>
    <w:p w:rsidR="004A0F99" w:rsidRDefault="004A0F99" w:rsidP="00405017">
      <w:pPr>
        <w:pStyle w:val="Normale1"/>
        <w:spacing w:after="0"/>
        <w:jc w:val="both"/>
      </w:pPr>
    </w:p>
    <w:p w:rsidR="00B42969" w:rsidRDefault="004A0F99" w:rsidP="004A0F99">
      <w:pPr>
        <w:pStyle w:val="Paragrafoelenco"/>
        <w:numPr>
          <w:ilvl w:val="0"/>
          <w:numId w:val="2"/>
        </w:numPr>
        <w:spacing w:after="0"/>
        <w:jc w:val="both"/>
        <w:rPr>
          <w:b/>
          <w:u w:val="single"/>
        </w:rPr>
      </w:pPr>
      <w:bookmarkStart w:id="1" w:name="_gjdgxs" w:colFirst="0" w:colLast="0"/>
      <w:bookmarkEnd w:id="1"/>
      <w:r w:rsidRPr="004A0F99">
        <w:rPr>
          <w:b/>
          <w:u w:val="single"/>
        </w:rPr>
        <w:t>Producibilità degli impianti</w:t>
      </w:r>
    </w:p>
    <w:p w:rsidR="004A0F99" w:rsidRDefault="004A0F99" w:rsidP="004A0F99">
      <w:pPr>
        <w:pStyle w:val="Normale1"/>
        <w:spacing w:after="0"/>
        <w:jc w:val="both"/>
      </w:pPr>
      <w:r>
        <w:t>In riferimento al tetto di spesa del GSE, l’Associazione chiede su quali calcoli venga effettuata la stima di producibilità e se si tenga conto di un intervallo di tempo ventennale considerando le variazioni di piovosità.</w:t>
      </w:r>
    </w:p>
    <w:p w:rsidR="00255B63" w:rsidRDefault="00255B63" w:rsidP="00255B63">
      <w:pPr>
        <w:spacing w:after="0"/>
        <w:jc w:val="both"/>
        <w:rPr>
          <w:b/>
          <w:u w:val="single"/>
        </w:rPr>
      </w:pPr>
    </w:p>
    <w:p w:rsidR="00016EDC" w:rsidRDefault="00016EDC" w:rsidP="00255B63">
      <w:pPr>
        <w:spacing w:after="0"/>
        <w:jc w:val="both"/>
        <w:rPr>
          <w:b/>
          <w:u w:val="single"/>
        </w:rPr>
      </w:pPr>
    </w:p>
    <w:p w:rsidR="00016EDC" w:rsidRPr="00255B63" w:rsidRDefault="00016EDC" w:rsidP="00255B63">
      <w:pPr>
        <w:spacing w:after="0"/>
        <w:jc w:val="both"/>
        <w:rPr>
          <w:b/>
          <w:u w:val="single"/>
        </w:rPr>
      </w:pPr>
    </w:p>
    <w:p w:rsidR="00B42969" w:rsidRDefault="004A0F99" w:rsidP="004A0F99">
      <w:pPr>
        <w:pStyle w:val="Paragrafoelenco"/>
        <w:numPr>
          <w:ilvl w:val="0"/>
          <w:numId w:val="2"/>
        </w:numPr>
        <w:spacing w:after="0"/>
        <w:jc w:val="both"/>
        <w:rPr>
          <w:b/>
          <w:u w:val="single"/>
        </w:rPr>
      </w:pPr>
      <w:r w:rsidRPr="004A0F99">
        <w:rPr>
          <w:b/>
          <w:u w:val="single"/>
        </w:rPr>
        <w:lastRenderedPageBreak/>
        <w:t>Procedure di comunicazione degli interventi</w:t>
      </w:r>
    </w:p>
    <w:p w:rsidR="004A0F99" w:rsidRPr="004A0F99" w:rsidRDefault="004A0F99" w:rsidP="004A0F99">
      <w:pPr>
        <w:spacing w:after="0"/>
        <w:jc w:val="both"/>
      </w:pPr>
      <w:r w:rsidRPr="004A0F99">
        <w:t xml:space="preserve">Al fine di semplificare le procedure e ridurre gli oneri burocratici, </w:t>
      </w:r>
      <w:r>
        <w:t>l’Associazione propone</w:t>
      </w:r>
      <w:r w:rsidRPr="004A0F99">
        <w:t xml:space="preserve"> di limitare le comunicazioni degli interventi </w:t>
      </w:r>
      <w:r w:rsidR="001316FB">
        <w:t xml:space="preserve">relativi </w:t>
      </w:r>
      <w:r w:rsidRPr="004A0F99">
        <w:t>ai soli componenti principali.</w:t>
      </w:r>
      <w:r w:rsidR="001316FB">
        <w:t xml:space="preserve"> Infatti s</w:t>
      </w:r>
      <w:r w:rsidR="001316FB" w:rsidRPr="001316FB">
        <w:t xml:space="preserve">i evidenzia come gli interventi di manutenzione ordinaria siano innumerevoli su impianti </w:t>
      </w:r>
      <w:r w:rsidR="001316FB">
        <w:t xml:space="preserve">idroelettrici </w:t>
      </w:r>
      <w:r w:rsidR="001316FB" w:rsidRPr="001316FB">
        <w:t xml:space="preserve">e afferenti anche a piccole componenti soggette a usura che non hanno impatto sulla potenza dell’impianto. </w:t>
      </w:r>
      <w:r w:rsidR="001316FB">
        <w:t>Dopo i primi utilizzi, s</w:t>
      </w:r>
      <w:r>
        <w:t>i ritiene</w:t>
      </w:r>
      <w:r w:rsidRPr="004A0F99">
        <w:t xml:space="preserve"> funzionale e chiaro l’applicativo informatico SIAD per l’invio delle comunicazioni relative agli interventi sugli impianti incentivati.</w:t>
      </w:r>
    </w:p>
    <w:p w:rsidR="008F5952" w:rsidRPr="00EC7EB2" w:rsidRDefault="008F5952" w:rsidP="00324D70">
      <w:pPr>
        <w:pStyle w:val="Paragrafoelenco"/>
        <w:spacing w:after="0"/>
        <w:ind w:left="0"/>
        <w:jc w:val="both"/>
      </w:pPr>
    </w:p>
    <w:p w:rsidR="00B42969" w:rsidRPr="000F3563" w:rsidRDefault="003E02B7" w:rsidP="003E02B7">
      <w:pPr>
        <w:pStyle w:val="Paragrafoelenco"/>
        <w:numPr>
          <w:ilvl w:val="0"/>
          <w:numId w:val="2"/>
        </w:numPr>
        <w:spacing w:after="0"/>
        <w:jc w:val="both"/>
        <w:rPr>
          <w:b/>
          <w:u w:val="single"/>
        </w:rPr>
      </w:pPr>
      <w:r w:rsidRPr="003E02B7">
        <w:rPr>
          <w:b/>
          <w:u w:val="single"/>
        </w:rPr>
        <w:t>Elenco dei componenti principali</w:t>
      </w:r>
    </w:p>
    <w:p w:rsidR="002A12E8" w:rsidRDefault="003E02B7" w:rsidP="009D5646">
      <w:pPr>
        <w:spacing w:after="0"/>
        <w:jc w:val="both"/>
      </w:pPr>
      <w:r>
        <w:t>L’Associazione ritiene</w:t>
      </w:r>
      <w:r w:rsidRPr="003E02B7">
        <w:t xml:space="preserve"> esaustivo l’elenco dei componenti principali definiti nel paragrafo 4 allegato 2 dei rifacimenti parziali o totali del DM 23 giugno 2016, ossia </w:t>
      </w:r>
      <w:r w:rsidRPr="001316FB">
        <w:rPr>
          <w:i/>
        </w:rPr>
        <w:t>gruppi turbina alternatori</w:t>
      </w:r>
      <w:r w:rsidRPr="003E02B7">
        <w:t xml:space="preserve"> e </w:t>
      </w:r>
      <w:r w:rsidRPr="001316FB">
        <w:rPr>
          <w:i/>
        </w:rPr>
        <w:t>le opere civili e/o idrauliche, comprese le gallerie di accesso, le condotte forzate e gli organi elettromeccanici di regolazione e manovra</w:t>
      </w:r>
      <w:r w:rsidRPr="003E02B7">
        <w:t xml:space="preserve">. I componenti che impattano maggiormente sulla potenza di impianto sono soprattutto i gruppi turbina-generatore, ma anche una eventuale modifica/miglioria delle opere civili per sfruttare al meglio le condizioni idrauliche che possono essersi modificate nel tempo, </w:t>
      </w:r>
      <w:r>
        <w:t xml:space="preserve">può portare a un incremento di </w:t>
      </w:r>
      <w:r w:rsidRPr="003E02B7">
        <w:t>efficienza/produzione dell’impianto</w:t>
      </w:r>
      <w:r>
        <w:t>.</w:t>
      </w:r>
    </w:p>
    <w:p w:rsidR="003E02B7" w:rsidRDefault="003E02B7" w:rsidP="009D5646">
      <w:pPr>
        <w:spacing w:after="0"/>
        <w:jc w:val="both"/>
      </w:pPr>
    </w:p>
    <w:p w:rsidR="00B42969" w:rsidRPr="000F3563" w:rsidRDefault="003E02B7" w:rsidP="003E02B7">
      <w:pPr>
        <w:pStyle w:val="Paragrafoelenco"/>
        <w:numPr>
          <w:ilvl w:val="0"/>
          <w:numId w:val="2"/>
        </w:numPr>
        <w:spacing w:after="0"/>
        <w:jc w:val="both"/>
        <w:rPr>
          <w:b/>
          <w:u w:val="single"/>
        </w:rPr>
      </w:pPr>
      <w:r w:rsidRPr="003E02B7">
        <w:rPr>
          <w:b/>
          <w:u w:val="single"/>
        </w:rPr>
        <w:t>Certificazioni dei componenti</w:t>
      </w:r>
    </w:p>
    <w:p w:rsidR="00C2058D" w:rsidRDefault="00422999" w:rsidP="00422999">
      <w:pPr>
        <w:pStyle w:val="Normale1"/>
        <w:spacing w:after="0"/>
        <w:jc w:val="both"/>
        <w:rPr>
          <w:u w:val="single"/>
        </w:rPr>
      </w:pPr>
      <w:r>
        <w:t>L’Associazione ritiene che non siano necessarie particolari prescrizioni sui componenti degli impianti idroelettrici, ad eccezione del requisito della marcatura CE.</w:t>
      </w:r>
    </w:p>
    <w:sectPr w:rsidR="00C2058D">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A7F" w:rsidRDefault="000F3A7F">
      <w:pPr>
        <w:spacing w:after="0" w:line="240" w:lineRule="auto"/>
      </w:pPr>
      <w:r>
        <w:separator/>
      </w:r>
    </w:p>
  </w:endnote>
  <w:endnote w:type="continuationSeparator" w:id="0">
    <w:p w:rsidR="000F3A7F" w:rsidRDefault="000F3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A7F" w:rsidRDefault="000F3A7F">
      <w:pPr>
        <w:spacing w:after="0" w:line="240" w:lineRule="auto"/>
      </w:pPr>
      <w:r>
        <w:separator/>
      </w:r>
    </w:p>
  </w:footnote>
  <w:footnote w:type="continuationSeparator" w:id="0">
    <w:p w:rsidR="000F3A7F" w:rsidRDefault="000F3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A2B" w:rsidRPr="002B6490" w:rsidRDefault="00F94A2B" w:rsidP="00F94A2B">
    <w:pPr>
      <w:pStyle w:val="Intestazione"/>
      <w:rPr>
        <w:rFonts w:ascii="Times New Roman" w:hAnsi="Times New Roman"/>
      </w:rPr>
    </w:pPr>
    <w:r>
      <w:rPr>
        <w:noProof/>
        <w:lang w:eastAsia="it-IT"/>
      </w:rPr>
      <w:drawing>
        <wp:inline distT="0" distB="0" distL="0" distR="0" wp14:anchorId="58B14247" wp14:editId="23489408">
          <wp:extent cx="2361537" cy="508883"/>
          <wp:effectExtent l="0" t="0" r="1270" b="5715"/>
          <wp:docPr id="1" name="Immagine 1" descr="SCRIT LATCONF COL 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IT LATCONF COL BD"/>
                  <pic:cNvPicPr>
                    <a:picLocks noChangeAspect="1" noChangeArrowheads="1"/>
                  </pic:cNvPicPr>
                </pic:nvPicPr>
                <pic:blipFill rotWithShape="1">
                  <a:blip r:embed="rId1">
                    <a:extLst>
                      <a:ext uri="{28A0092B-C50C-407E-A947-70E740481C1C}">
                        <a14:useLocalDpi xmlns:a14="http://schemas.microsoft.com/office/drawing/2010/main" val="0"/>
                      </a:ext>
                    </a:extLst>
                  </a:blip>
                  <a:srcRect r="30143"/>
                  <a:stretch/>
                </pic:blipFill>
                <pic:spPr bwMode="auto">
                  <a:xfrm>
                    <a:off x="0" y="0"/>
                    <a:ext cx="2369227" cy="510540"/>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it-IT"/>
      </w:rPr>
      <w:drawing>
        <wp:anchor distT="0" distB="0" distL="114300" distR="114300" simplePos="0" relativeHeight="251659264" behindDoc="1" locked="0" layoutInCell="1" allowOverlap="1" wp14:anchorId="3263C283" wp14:editId="3829D9A2">
          <wp:simplePos x="0" y="0"/>
          <wp:positionH relativeFrom="column">
            <wp:posOffset>5225415</wp:posOffset>
          </wp:positionH>
          <wp:positionV relativeFrom="paragraph">
            <wp:posOffset>0</wp:posOffset>
          </wp:positionV>
          <wp:extent cx="1086485" cy="462280"/>
          <wp:effectExtent l="0" t="0" r="5715" b="0"/>
          <wp:wrapThrough wrapText="bothSides">
            <wp:wrapPolygon edited="0">
              <wp:start x="0" y="0"/>
              <wp:lineTo x="0" y="20176"/>
              <wp:lineTo x="21209" y="20176"/>
              <wp:lineTo x="21209" y="0"/>
              <wp:lineTo x="0" y="0"/>
            </wp:wrapPolygon>
          </wp:wrapThrough>
          <wp:docPr id="6" name="Immagine 1" descr="http://www.solarexpo.com/images/patrocini-partner/anie_rinnovabi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solarexpo.com/images/patrocini-partner/anie_rinnovabili.jpg"/>
                  <pic:cNvPicPr>
                    <a:picLocks noChangeAspect="1" noChangeArrowheads="1"/>
                  </pic:cNvPicPr>
                </pic:nvPicPr>
                <pic:blipFill>
                  <a:blip r:embed="rId2">
                    <a:extLst>
                      <a:ext uri="{28A0092B-C50C-407E-A947-70E740481C1C}">
                        <a14:useLocalDpi xmlns:a14="http://schemas.microsoft.com/office/drawing/2010/main" val="0"/>
                      </a:ext>
                    </a:extLst>
                  </a:blip>
                  <a:srcRect t="10941" b="9409"/>
                  <a:stretch>
                    <a:fillRect/>
                  </a:stretch>
                </pic:blipFill>
                <pic:spPr bwMode="auto">
                  <a:xfrm>
                    <a:off x="0" y="0"/>
                    <a:ext cx="1086485" cy="462280"/>
                  </a:xfrm>
                  <a:prstGeom prst="rect">
                    <a:avLst/>
                  </a:prstGeom>
                  <a:noFill/>
                  <a:ln>
                    <a:noFill/>
                  </a:ln>
                </pic:spPr>
              </pic:pic>
            </a:graphicData>
          </a:graphic>
        </wp:anchor>
      </w:drawing>
    </w:r>
    <w:r>
      <w:rPr>
        <w:rFonts w:ascii="Arial" w:hAnsi="Arial"/>
      </w:rPr>
      <w:tab/>
    </w:r>
  </w:p>
  <w:p w:rsidR="00F94A2B" w:rsidRDefault="00F94A2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B58F4"/>
    <w:multiLevelType w:val="hybridMultilevel"/>
    <w:tmpl w:val="81A89B40"/>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3B0735C"/>
    <w:multiLevelType w:val="hybridMultilevel"/>
    <w:tmpl w:val="296EDB82"/>
    <w:lvl w:ilvl="0" w:tplc="3C002510">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5477352"/>
    <w:multiLevelType w:val="hybridMultilevel"/>
    <w:tmpl w:val="DBE2F5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3726428"/>
    <w:multiLevelType w:val="hybridMultilevel"/>
    <w:tmpl w:val="373C630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35BF257B"/>
    <w:multiLevelType w:val="hybridMultilevel"/>
    <w:tmpl w:val="9156301E"/>
    <w:lvl w:ilvl="0" w:tplc="4412CEB6">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5DC004B"/>
    <w:multiLevelType w:val="hybridMultilevel"/>
    <w:tmpl w:val="BE26640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FC11E47"/>
    <w:multiLevelType w:val="hybridMultilevel"/>
    <w:tmpl w:val="90A20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3CC79B3"/>
    <w:multiLevelType w:val="hybridMultilevel"/>
    <w:tmpl w:val="40D8EAA8"/>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num w:numId="1">
    <w:abstractNumId w:val="2"/>
  </w:num>
  <w:num w:numId="2">
    <w:abstractNumId w:val="3"/>
  </w:num>
  <w:num w:numId="3">
    <w:abstractNumId w:val="6"/>
  </w:num>
  <w:num w:numId="4">
    <w:abstractNumId w:val="7"/>
  </w:num>
  <w:num w:numId="5">
    <w:abstractNumId w:val="5"/>
  </w:num>
  <w:num w:numId="6">
    <w:abstractNumId w:val="0"/>
  </w:num>
  <w:num w:numId="7">
    <w:abstractNumId w:val="4"/>
  </w:num>
  <w:num w:numId="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21B"/>
    <w:rsid w:val="00000D15"/>
    <w:rsid w:val="00016EDC"/>
    <w:rsid w:val="00027CAD"/>
    <w:rsid w:val="00042F54"/>
    <w:rsid w:val="000503C5"/>
    <w:rsid w:val="000608F8"/>
    <w:rsid w:val="00064D9D"/>
    <w:rsid w:val="00065B81"/>
    <w:rsid w:val="00070338"/>
    <w:rsid w:val="00087A1D"/>
    <w:rsid w:val="000A6D88"/>
    <w:rsid w:val="000A7256"/>
    <w:rsid w:val="000B7AFD"/>
    <w:rsid w:val="000C3D79"/>
    <w:rsid w:val="000D0AAE"/>
    <w:rsid w:val="000D393E"/>
    <w:rsid w:val="000D6E97"/>
    <w:rsid w:val="000D746D"/>
    <w:rsid w:val="000E00E2"/>
    <w:rsid w:val="000E1DFE"/>
    <w:rsid w:val="000E4B5C"/>
    <w:rsid w:val="000E772C"/>
    <w:rsid w:val="000F205E"/>
    <w:rsid w:val="000F3563"/>
    <w:rsid w:val="000F3A7F"/>
    <w:rsid w:val="00114F11"/>
    <w:rsid w:val="001220C3"/>
    <w:rsid w:val="001316FB"/>
    <w:rsid w:val="00131C1F"/>
    <w:rsid w:val="00137B41"/>
    <w:rsid w:val="00142AA7"/>
    <w:rsid w:val="001479D1"/>
    <w:rsid w:val="00153B40"/>
    <w:rsid w:val="0016512F"/>
    <w:rsid w:val="00170EB8"/>
    <w:rsid w:val="00175EA6"/>
    <w:rsid w:val="0018165D"/>
    <w:rsid w:val="00182A2F"/>
    <w:rsid w:val="00182B2C"/>
    <w:rsid w:val="00194DDD"/>
    <w:rsid w:val="001A1FD8"/>
    <w:rsid w:val="001A375F"/>
    <w:rsid w:val="001A793F"/>
    <w:rsid w:val="001B0AA1"/>
    <w:rsid w:val="001B13B4"/>
    <w:rsid w:val="001B1E35"/>
    <w:rsid w:val="001B5138"/>
    <w:rsid w:val="001B544A"/>
    <w:rsid w:val="001C1D6B"/>
    <w:rsid w:val="001C6D10"/>
    <w:rsid w:val="001D1CAE"/>
    <w:rsid w:val="001E0EB3"/>
    <w:rsid w:val="001E1E7F"/>
    <w:rsid w:val="001E78B2"/>
    <w:rsid w:val="001F1875"/>
    <w:rsid w:val="001F242D"/>
    <w:rsid w:val="001F6BFC"/>
    <w:rsid w:val="002031FE"/>
    <w:rsid w:val="00205C7E"/>
    <w:rsid w:val="00212EEF"/>
    <w:rsid w:val="00214FFA"/>
    <w:rsid w:val="00216BF4"/>
    <w:rsid w:val="002175D0"/>
    <w:rsid w:val="0022415E"/>
    <w:rsid w:val="00234E43"/>
    <w:rsid w:val="0025217E"/>
    <w:rsid w:val="00255B63"/>
    <w:rsid w:val="002662D8"/>
    <w:rsid w:val="0027141C"/>
    <w:rsid w:val="002A12E8"/>
    <w:rsid w:val="002A5120"/>
    <w:rsid w:val="002B171D"/>
    <w:rsid w:val="002D54DA"/>
    <w:rsid w:val="002E1C52"/>
    <w:rsid w:val="002E2F5C"/>
    <w:rsid w:val="002E45C8"/>
    <w:rsid w:val="002E7A72"/>
    <w:rsid w:val="003106D3"/>
    <w:rsid w:val="003235C8"/>
    <w:rsid w:val="00324D70"/>
    <w:rsid w:val="003333D3"/>
    <w:rsid w:val="00333677"/>
    <w:rsid w:val="003456EC"/>
    <w:rsid w:val="00352D77"/>
    <w:rsid w:val="00371979"/>
    <w:rsid w:val="00376C68"/>
    <w:rsid w:val="00386991"/>
    <w:rsid w:val="00397CE8"/>
    <w:rsid w:val="003A1F74"/>
    <w:rsid w:val="003A45F3"/>
    <w:rsid w:val="003A4BF6"/>
    <w:rsid w:val="003B2CB1"/>
    <w:rsid w:val="003B4AA9"/>
    <w:rsid w:val="003B5EA5"/>
    <w:rsid w:val="003C1308"/>
    <w:rsid w:val="003C34F9"/>
    <w:rsid w:val="003C4A1D"/>
    <w:rsid w:val="003D037D"/>
    <w:rsid w:val="003D3261"/>
    <w:rsid w:val="003D443E"/>
    <w:rsid w:val="003D444C"/>
    <w:rsid w:val="003D7DCD"/>
    <w:rsid w:val="003E02B7"/>
    <w:rsid w:val="003E66E0"/>
    <w:rsid w:val="00405017"/>
    <w:rsid w:val="00413167"/>
    <w:rsid w:val="004144D3"/>
    <w:rsid w:val="0041500B"/>
    <w:rsid w:val="004170C4"/>
    <w:rsid w:val="00420A2A"/>
    <w:rsid w:val="004220B3"/>
    <w:rsid w:val="00422999"/>
    <w:rsid w:val="00431F79"/>
    <w:rsid w:val="00432EB4"/>
    <w:rsid w:val="00433002"/>
    <w:rsid w:val="00440598"/>
    <w:rsid w:val="0044414E"/>
    <w:rsid w:val="0045102B"/>
    <w:rsid w:val="00452C27"/>
    <w:rsid w:val="00453C56"/>
    <w:rsid w:val="0045623C"/>
    <w:rsid w:val="0047193C"/>
    <w:rsid w:val="00480362"/>
    <w:rsid w:val="004859F1"/>
    <w:rsid w:val="00485A6F"/>
    <w:rsid w:val="00486997"/>
    <w:rsid w:val="00495F4A"/>
    <w:rsid w:val="004A0F99"/>
    <w:rsid w:val="004C0451"/>
    <w:rsid w:val="004D57A3"/>
    <w:rsid w:val="004E5C58"/>
    <w:rsid w:val="004F03CE"/>
    <w:rsid w:val="00510D5B"/>
    <w:rsid w:val="00511137"/>
    <w:rsid w:val="005143E9"/>
    <w:rsid w:val="005151AC"/>
    <w:rsid w:val="005438C2"/>
    <w:rsid w:val="00550542"/>
    <w:rsid w:val="00560793"/>
    <w:rsid w:val="00561B9E"/>
    <w:rsid w:val="00562232"/>
    <w:rsid w:val="00572EE9"/>
    <w:rsid w:val="00574446"/>
    <w:rsid w:val="0057531F"/>
    <w:rsid w:val="00583344"/>
    <w:rsid w:val="0058684E"/>
    <w:rsid w:val="0059038B"/>
    <w:rsid w:val="005927E5"/>
    <w:rsid w:val="00594758"/>
    <w:rsid w:val="005A1B40"/>
    <w:rsid w:val="005A4414"/>
    <w:rsid w:val="005B0A7B"/>
    <w:rsid w:val="005B288B"/>
    <w:rsid w:val="005B5A96"/>
    <w:rsid w:val="005B5C0F"/>
    <w:rsid w:val="005B7377"/>
    <w:rsid w:val="005D5CB9"/>
    <w:rsid w:val="005E1469"/>
    <w:rsid w:val="005E3F52"/>
    <w:rsid w:val="005E66E7"/>
    <w:rsid w:val="005F0172"/>
    <w:rsid w:val="005F0D02"/>
    <w:rsid w:val="005F4DB4"/>
    <w:rsid w:val="0060071C"/>
    <w:rsid w:val="00616B94"/>
    <w:rsid w:val="006219B6"/>
    <w:rsid w:val="00635324"/>
    <w:rsid w:val="00645D7B"/>
    <w:rsid w:val="006710B3"/>
    <w:rsid w:val="006741BC"/>
    <w:rsid w:val="0067742C"/>
    <w:rsid w:val="00686C68"/>
    <w:rsid w:val="006948AB"/>
    <w:rsid w:val="006A32FD"/>
    <w:rsid w:val="006B4A9E"/>
    <w:rsid w:val="006B532C"/>
    <w:rsid w:val="006C43C2"/>
    <w:rsid w:val="006C5D46"/>
    <w:rsid w:val="006D08C1"/>
    <w:rsid w:val="006D4181"/>
    <w:rsid w:val="006E76D6"/>
    <w:rsid w:val="00712760"/>
    <w:rsid w:val="00715798"/>
    <w:rsid w:val="00723616"/>
    <w:rsid w:val="00752388"/>
    <w:rsid w:val="00755567"/>
    <w:rsid w:val="00755969"/>
    <w:rsid w:val="00756DAF"/>
    <w:rsid w:val="00756F0D"/>
    <w:rsid w:val="007625C1"/>
    <w:rsid w:val="007632AE"/>
    <w:rsid w:val="00763885"/>
    <w:rsid w:val="007777D7"/>
    <w:rsid w:val="00780C2C"/>
    <w:rsid w:val="00785F42"/>
    <w:rsid w:val="007A58EB"/>
    <w:rsid w:val="007B3748"/>
    <w:rsid w:val="007C6E37"/>
    <w:rsid w:val="007D0F25"/>
    <w:rsid w:val="007D0FCE"/>
    <w:rsid w:val="007E646A"/>
    <w:rsid w:val="007E7731"/>
    <w:rsid w:val="007F1EA7"/>
    <w:rsid w:val="007F7DE7"/>
    <w:rsid w:val="0080525E"/>
    <w:rsid w:val="008122A4"/>
    <w:rsid w:val="00823EB7"/>
    <w:rsid w:val="00830CD8"/>
    <w:rsid w:val="00834C53"/>
    <w:rsid w:val="00836336"/>
    <w:rsid w:val="00840C1E"/>
    <w:rsid w:val="0086177B"/>
    <w:rsid w:val="008701C9"/>
    <w:rsid w:val="0087156D"/>
    <w:rsid w:val="0087217B"/>
    <w:rsid w:val="008749D2"/>
    <w:rsid w:val="00874BD4"/>
    <w:rsid w:val="00875FED"/>
    <w:rsid w:val="00877804"/>
    <w:rsid w:val="00882466"/>
    <w:rsid w:val="0088658C"/>
    <w:rsid w:val="00896C88"/>
    <w:rsid w:val="008A0395"/>
    <w:rsid w:val="008A474F"/>
    <w:rsid w:val="008A7469"/>
    <w:rsid w:val="008B13C2"/>
    <w:rsid w:val="008C6D2D"/>
    <w:rsid w:val="008D21D6"/>
    <w:rsid w:val="008E0A77"/>
    <w:rsid w:val="008F2CED"/>
    <w:rsid w:val="008F5952"/>
    <w:rsid w:val="00902BBD"/>
    <w:rsid w:val="00905F9B"/>
    <w:rsid w:val="00913D96"/>
    <w:rsid w:val="00922617"/>
    <w:rsid w:val="00934CAB"/>
    <w:rsid w:val="00953B37"/>
    <w:rsid w:val="00971154"/>
    <w:rsid w:val="00972B2B"/>
    <w:rsid w:val="009975F4"/>
    <w:rsid w:val="009A0B72"/>
    <w:rsid w:val="009A7D0B"/>
    <w:rsid w:val="009B5F05"/>
    <w:rsid w:val="009C11F7"/>
    <w:rsid w:val="009C1F3D"/>
    <w:rsid w:val="009D3C04"/>
    <w:rsid w:val="009D5646"/>
    <w:rsid w:val="009D6499"/>
    <w:rsid w:val="009D7A10"/>
    <w:rsid w:val="009E32C4"/>
    <w:rsid w:val="009F2F3E"/>
    <w:rsid w:val="009F54EE"/>
    <w:rsid w:val="00A0016F"/>
    <w:rsid w:val="00A0151D"/>
    <w:rsid w:val="00A01C62"/>
    <w:rsid w:val="00A559D1"/>
    <w:rsid w:val="00A63152"/>
    <w:rsid w:val="00A760AD"/>
    <w:rsid w:val="00A82E6E"/>
    <w:rsid w:val="00A87765"/>
    <w:rsid w:val="00A90D45"/>
    <w:rsid w:val="00AB200F"/>
    <w:rsid w:val="00AB59A6"/>
    <w:rsid w:val="00AC029F"/>
    <w:rsid w:val="00AC3C96"/>
    <w:rsid w:val="00B06C64"/>
    <w:rsid w:val="00B20B34"/>
    <w:rsid w:val="00B2410C"/>
    <w:rsid w:val="00B2719C"/>
    <w:rsid w:val="00B34012"/>
    <w:rsid w:val="00B35392"/>
    <w:rsid w:val="00B35993"/>
    <w:rsid w:val="00B42969"/>
    <w:rsid w:val="00B71A35"/>
    <w:rsid w:val="00B775A5"/>
    <w:rsid w:val="00BA1B32"/>
    <w:rsid w:val="00BB0838"/>
    <w:rsid w:val="00BB48DD"/>
    <w:rsid w:val="00BB592B"/>
    <w:rsid w:val="00BC103E"/>
    <w:rsid w:val="00BC2BBF"/>
    <w:rsid w:val="00BC6277"/>
    <w:rsid w:val="00BC6397"/>
    <w:rsid w:val="00BD1564"/>
    <w:rsid w:val="00BD27AD"/>
    <w:rsid w:val="00BE0A49"/>
    <w:rsid w:val="00BE12CE"/>
    <w:rsid w:val="00BE2773"/>
    <w:rsid w:val="00BE3319"/>
    <w:rsid w:val="00BE5DB3"/>
    <w:rsid w:val="00BF4766"/>
    <w:rsid w:val="00BF52B2"/>
    <w:rsid w:val="00BF630D"/>
    <w:rsid w:val="00C00EA5"/>
    <w:rsid w:val="00C053EA"/>
    <w:rsid w:val="00C2058D"/>
    <w:rsid w:val="00C20F36"/>
    <w:rsid w:val="00C325FE"/>
    <w:rsid w:val="00C33665"/>
    <w:rsid w:val="00C42698"/>
    <w:rsid w:val="00C4351D"/>
    <w:rsid w:val="00C469F5"/>
    <w:rsid w:val="00C50356"/>
    <w:rsid w:val="00C53D90"/>
    <w:rsid w:val="00C56C8D"/>
    <w:rsid w:val="00C60752"/>
    <w:rsid w:val="00C654C9"/>
    <w:rsid w:val="00C65C0A"/>
    <w:rsid w:val="00C671AC"/>
    <w:rsid w:val="00C75234"/>
    <w:rsid w:val="00C77CD1"/>
    <w:rsid w:val="00C903C4"/>
    <w:rsid w:val="00C971F9"/>
    <w:rsid w:val="00CA76D1"/>
    <w:rsid w:val="00CB3D42"/>
    <w:rsid w:val="00CB67F5"/>
    <w:rsid w:val="00CC2D6F"/>
    <w:rsid w:val="00CC575A"/>
    <w:rsid w:val="00CE2B96"/>
    <w:rsid w:val="00CF6503"/>
    <w:rsid w:val="00D037B6"/>
    <w:rsid w:val="00D03BE9"/>
    <w:rsid w:val="00D041D9"/>
    <w:rsid w:val="00D042FA"/>
    <w:rsid w:val="00D046FD"/>
    <w:rsid w:val="00D129FC"/>
    <w:rsid w:val="00D27285"/>
    <w:rsid w:val="00D36C3B"/>
    <w:rsid w:val="00D43C81"/>
    <w:rsid w:val="00D6621B"/>
    <w:rsid w:val="00D769AB"/>
    <w:rsid w:val="00D91A0A"/>
    <w:rsid w:val="00DB785F"/>
    <w:rsid w:val="00DC21A2"/>
    <w:rsid w:val="00DC298A"/>
    <w:rsid w:val="00DC6066"/>
    <w:rsid w:val="00DD0CD9"/>
    <w:rsid w:val="00DE1E4D"/>
    <w:rsid w:val="00DF0BAC"/>
    <w:rsid w:val="00DF6296"/>
    <w:rsid w:val="00DF7C79"/>
    <w:rsid w:val="00E01FAC"/>
    <w:rsid w:val="00E06B4B"/>
    <w:rsid w:val="00E17359"/>
    <w:rsid w:val="00E20862"/>
    <w:rsid w:val="00E24411"/>
    <w:rsid w:val="00E26284"/>
    <w:rsid w:val="00E54D91"/>
    <w:rsid w:val="00E6449D"/>
    <w:rsid w:val="00E65320"/>
    <w:rsid w:val="00E704F9"/>
    <w:rsid w:val="00E74C56"/>
    <w:rsid w:val="00E77709"/>
    <w:rsid w:val="00E81319"/>
    <w:rsid w:val="00E84919"/>
    <w:rsid w:val="00E863EC"/>
    <w:rsid w:val="00E865A7"/>
    <w:rsid w:val="00E90B0F"/>
    <w:rsid w:val="00E951C8"/>
    <w:rsid w:val="00EA12EE"/>
    <w:rsid w:val="00EA4005"/>
    <w:rsid w:val="00EB4528"/>
    <w:rsid w:val="00EB4DCC"/>
    <w:rsid w:val="00EB50E2"/>
    <w:rsid w:val="00EB6FD5"/>
    <w:rsid w:val="00EB7272"/>
    <w:rsid w:val="00EC1120"/>
    <w:rsid w:val="00EC5499"/>
    <w:rsid w:val="00EC7EB2"/>
    <w:rsid w:val="00ED445C"/>
    <w:rsid w:val="00ED6DE8"/>
    <w:rsid w:val="00EE2A39"/>
    <w:rsid w:val="00EF6BB6"/>
    <w:rsid w:val="00F000C6"/>
    <w:rsid w:val="00F00E12"/>
    <w:rsid w:val="00F15FE8"/>
    <w:rsid w:val="00F21A7F"/>
    <w:rsid w:val="00F30ACA"/>
    <w:rsid w:val="00F32BF3"/>
    <w:rsid w:val="00F339C8"/>
    <w:rsid w:val="00F46A67"/>
    <w:rsid w:val="00F52383"/>
    <w:rsid w:val="00F5239B"/>
    <w:rsid w:val="00F55E46"/>
    <w:rsid w:val="00F5777F"/>
    <w:rsid w:val="00F61265"/>
    <w:rsid w:val="00F6605A"/>
    <w:rsid w:val="00F80734"/>
    <w:rsid w:val="00F85322"/>
    <w:rsid w:val="00F8765B"/>
    <w:rsid w:val="00F91A4F"/>
    <w:rsid w:val="00F92EE0"/>
    <w:rsid w:val="00F94A2B"/>
    <w:rsid w:val="00FC67F2"/>
    <w:rsid w:val="00FD6C16"/>
    <w:rsid w:val="00FD7A34"/>
    <w:rsid w:val="00FE0E53"/>
    <w:rsid w:val="00FE5220"/>
    <w:rsid w:val="00FE6741"/>
    <w:rsid w:val="00FF0FDB"/>
    <w:rsid w:val="00FF2F69"/>
    <w:rsid w:val="00FF4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styleId="Testonotadichiusura">
    <w:name w:val="endnote text"/>
    <w:basedOn w:val="Normale"/>
    <w:link w:val="TestonotadichiusuraCarattere"/>
    <w:uiPriority w:val="99"/>
    <w:semiHidden/>
    <w:unhideWhenUse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Pr>
      <w:sz w:val="20"/>
      <w:szCs w:val="20"/>
    </w:rPr>
  </w:style>
  <w:style w:type="character" w:styleId="Rimandonotadichiusura">
    <w:name w:val="endnote reference"/>
    <w:basedOn w:val="Carpredefinitoparagrafo"/>
    <w:uiPriority w:val="99"/>
    <w:semiHidden/>
    <w:unhideWhenUsed/>
    <w:rPr>
      <w:vertAlign w:val="superscript"/>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Testofumetto">
    <w:name w:val="Balloon Text"/>
    <w:basedOn w:val="Normale"/>
    <w:link w:val="TestofumettoCarattere"/>
    <w:uiPriority w:val="99"/>
    <w:semiHidden/>
    <w:unhideWhenUse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F94A2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94A2B"/>
    <w:rPr>
      <w:sz w:val="20"/>
      <w:szCs w:val="20"/>
    </w:rPr>
  </w:style>
  <w:style w:type="character" w:styleId="Rimandonotaapidipagina">
    <w:name w:val="footnote reference"/>
    <w:basedOn w:val="Carpredefinitoparagrafo"/>
    <w:uiPriority w:val="99"/>
    <w:semiHidden/>
    <w:unhideWhenUsed/>
    <w:rsid w:val="00F94A2B"/>
    <w:rPr>
      <w:vertAlign w:val="superscript"/>
    </w:rPr>
  </w:style>
  <w:style w:type="paragraph" w:styleId="Intestazione">
    <w:name w:val="header"/>
    <w:basedOn w:val="Normale"/>
    <w:link w:val="IntestazioneCarattere"/>
    <w:uiPriority w:val="99"/>
    <w:unhideWhenUsed/>
    <w:rsid w:val="00F94A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4A2B"/>
  </w:style>
  <w:style w:type="paragraph" w:styleId="Pidipagina">
    <w:name w:val="footer"/>
    <w:basedOn w:val="Normale"/>
    <w:link w:val="PidipaginaCarattere"/>
    <w:uiPriority w:val="99"/>
    <w:unhideWhenUsed/>
    <w:rsid w:val="00F94A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4A2B"/>
  </w:style>
  <w:style w:type="paragraph" w:styleId="Corpotesto">
    <w:name w:val="Body Text"/>
    <w:basedOn w:val="Normale"/>
    <w:link w:val="CorpotestoCarattere"/>
    <w:uiPriority w:val="1"/>
    <w:qFormat/>
    <w:rsid w:val="009F2F3E"/>
    <w:pPr>
      <w:widowControl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9F2F3E"/>
    <w:rPr>
      <w:rFonts w:ascii="Calibri" w:eastAsia="Calibri" w:hAnsi="Calibri" w:cs="Calibri"/>
      <w:sz w:val="20"/>
      <w:szCs w:val="20"/>
      <w:lang w:val="en-US"/>
    </w:rPr>
  </w:style>
  <w:style w:type="paragraph" w:customStyle="1" w:styleId="Default">
    <w:name w:val="Default"/>
    <w:rsid w:val="00131C1F"/>
    <w:pPr>
      <w:autoSpaceDE w:val="0"/>
      <w:autoSpaceDN w:val="0"/>
      <w:adjustRightInd w:val="0"/>
      <w:spacing w:after="0" w:line="240" w:lineRule="auto"/>
    </w:pPr>
    <w:rPr>
      <w:rFonts w:ascii="Calibri" w:eastAsia="Times New Roman" w:hAnsi="Calibri" w:cs="Calibri"/>
      <w:color w:val="000000"/>
      <w:sz w:val="24"/>
      <w:szCs w:val="24"/>
    </w:rPr>
  </w:style>
  <w:style w:type="character" w:styleId="Collegamentoipertestuale">
    <w:name w:val="Hyperlink"/>
    <w:basedOn w:val="Carpredefinitoparagrafo"/>
    <w:uiPriority w:val="99"/>
    <w:unhideWhenUsed/>
    <w:rsid w:val="00371979"/>
    <w:rPr>
      <w:color w:val="0000FF" w:themeColor="hyperlink"/>
      <w:u w:val="single"/>
    </w:rPr>
  </w:style>
  <w:style w:type="paragraph" w:customStyle="1" w:styleId="Normale1">
    <w:name w:val="Normale1"/>
    <w:rsid w:val="00E90B0F"/>
    <w:rPr>
      <w:rFonts w:ascii="Calibri" w:eastAsia="Calibri" w:hAnsi="Calibri" w:cs="Calibri"/>
      <w:color w:val="00000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styleId="Testonotadichiusura">
    <w:name w:val="endnote text"/>
    <w:basedOn w:val="Normale"/>
    <w:link w:val="TestonotadichiusuraCarattere"/>
    <w:uiPriority w:val="99"/>
    <w:semiHidden/>
    <w:unhideWhenUse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Pr>
      <w:sz w:val="20"/>
      <w:szCs w:val="20"/>
    </w:rPr>
  </w:style>
  <w:style w:type="character" w:styleId="Rimandonotadichiusura">
    <w:name w:val="endnote reference"/>
    <w:basedOn w:val="Carpredefinitoparagrafo"/>
    <w:uiPriority w:val="99"/>
    <w:semiHidden/>
    <w:unhideWhenUsed/>
    <w:rPr>
      <w:vertAlign w:val="superscript"/>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Testofumetto">
    <w:name w:val="Balloon Text"/>
    <w:basedOn w:val="Normale"/>
    <w:link w:val="TestofumettoCarattere"/>
    <w:uiPriority w:val="99"/>
    <w:semiHidden/>
    <w:unhideWhenUse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F94A2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94A2B"/>
    <w:rPr>
      <w:sz w:val="20"/>
      <w:szCs w:val="20"/>
    </w:rPr>
  </w:style>
  <w:style w:type="character" w:styleId="Rimandonotaapidipagina">
    <w:name w:val="footnote reference"/>
    <w:basedOn w:val="Carpredefinitoparagrafo"/>
    <w:uiPriority w:val="99"/>
    <w:semiHidden/>
    <w:unhideWhenUsed/>
    <w:rsid w:val="00F94A2B"/>
    <w:rPr>
      <w:vertAlign w:val="superscript"/>
    </w:rPr>
  </w:style>
  <w:style w:type="paragraph" w:styleId="Intestazione">
    <w:name w:val="header"/>
    <w:basedOn w:val="Normale"/>
    <w:link w:val="IntestazioneCarattere"/>
    <w:uiPriority w:val="99"/>
    <w:unhideWhenUsed/>
    <w:rsid w:val="00F94A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4A2B"/>
  </w:style>
  <w:style w:type="paragraph" w:styleId="Pidipagina">
    <w:name w:val="footer"/>
    <w:basedOn w:val="Normale"/>
    <w:link w:val="PidipaginaCarattere"/>
    <w:uiPriority w:val="99"/>
    <w:unhideWhenUsed/>
    <w:rsid w:val="00F94A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4A2B"/>
  </w:style>
  <w:style w:type="paragraph" w:styleId="Corpotesto">
    <w:name w:val="Body Text"/>
    <w:basedOn w:val="Normale"/>
    <w:link w:val="CorpotestoCarattere"/>
    <w:uiPriority w:val="1"/>
    <w:qFormat/>
    <w:rsid w:val="009F2F3E"/>
    <w:pPr>
      <w:widowControl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9F2F3E"/>
    <w:rPr>
      <w:rFonts w:ascii="Calibri" w:eastAsia="Calibri" w:hAnsi="Calibri" w:cs="Calibri"/>
      <w:sz w:val="20"/>
      <w:szCs w:val="20"/>
      <w:lang w:val="en-US"/>
    </w:rPr>
  </w:style>
  <w:style w:type="paragraph" w:customStyle="1" w:styleId="Default">
    <w:name w:val="Default"/>
    <w:rsid w:val="00131C1F"/>
    <w:pPr>
      <w:autoSpaceDE w:val="0"/>
      <w:autoSpaceDN w:val="0"/>
      <w:adjustRightInd w:val="0"/>
      <w:spacing w:after="0" w:line="240" w:lineRule="auto"/>
    </w:pPr>
    <w:rPr>
      <w:rFonts w:ascii="Calibri" w:eastAsia="Times New Roman" w:hAnsi="Calibri" w:cs="Calibri"/>
      <w:color w:val="000000"/>
      <w:sz w:val="24"/>
      <w:szCs w:val="24"/>
    </w:rPr>
  </w:style>
  <w:style w:type="character" w:styleId="Collegamentoipertestuale">
    <w:name w:val="Hyperlink"/>
    <w:basedOn w:val="Carpredefinitoparagrafo"/>
    <w:uiPriority w:val="99"/>
    <w:unhideWhenUsed/>
    <w:rsid w:val="00371979"/>
    <w:rPr>
      <w:color w:val="0000FF" w:themeColor="hyperlink"/>
      <w:u w:val="single"/>
    </w:rPr>
  </w:style>
  <w:style w:type="paragraph" w:customStyle="1" w:styleId="Normale1">
    <w:name w:val="Normale1"/>
    <w:rsid w:val="00E90B0F"/>
    <w:rPr>
      <w:rFonts w:ascii="Calibri" w:eastAsia="Calibri" w:hAnsi="Calibri" w:cs="Calibri"/>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9107">
      <w:bodyDiv w:val="1"/>
      <w:marLeft w:val="0"/>
      <w:marRight w:val="0"/>
      <w:marTop w:val="0"/>
      <w:marBottom w:val="0"/>
      <w:divBdr>
        <w:top w:val="none" w:sz="0" w:space="0" w:color="auto"/>
        <w:left w:val="none" w:sz="0" w:space="0" w:color="auto"/>
        <w:bottom w:val="none" w:sz="0" w:space="0" w:color="auto"/>
        <w:right w:val="none" w:sz="0" w:space="0" w:color="auto"/>
      </w:divBdr>
    </w:div>
    <w:div w:id="127286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9F6CE-16FA-4A59-B47A-A8CDAE99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662</Words>
  <Characters>3777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Citarella</dc:creator>
  <cp:lastModifiedBy>Di Turi Elvis</cp:lastModifiedBy>
  <cp:revision>14</cp:revision>
  <cp:lastPrinted>2016-09-23T15:18:00Z</cp:lastPrinted>
  <dcterms:created xsi:type="dcterms:W3CDTF">2016-10-03T15:05:00Z</dcterms:created>
  <dcterms:modified xsi:type="dcterms:W3CDTF">2017-04-10T13:55:00Z</dcterms:modified>
</cp:coreProperties>
</file>